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bookmarkStart w:id="0" w:name="sub_1300"/>
      <w:bookmarkStart w:id="1" w:name="_GoBack"/>
      <w:bookmarkEnd w:id="1"/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>Приложение 3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 xml:space="preserve">к </w:t>
      </w:r>
      <w:hyperlink w:anchor="sub_1000" w:history="1">
        <w:r w:rsidRPr="007C04B1">
          <w:rPr>
            <w:rFonts w:eastAsiaTheme="minorEastAsia"/>
            <w:color w:val="000000" w:themeColor="text1"/>
            <w:szCs w:val="28"/>
            <w:lang w:eastAsia="ru-RU"/>
          </w:rPr>
          <w:t>порядку</w:t>
        </w:r>
      </w:hyperlink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 xml:space="preserve"> формирования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>перечня налоговых расходов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>и оценки налоговых расходов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7C04B1">
        <w:rPr>
          <w:rFonts w:eastAsiaTheme="minorEastAsia"/>
          <w:bCs/>
          <w:color w:val="000000" w:themeColor="text1"/>
          <w:szCs w:val="28"/>
          <w:lang w:eastAsia="ru-RU"/>
        </w:rPr>
        <w:t>города Сургута</w:t>
      </w:r>
    </w:p>
    <w:bookmarkEnd w:id="0"/>
    <w:p w:rsidR="0090335E" w:rsidRPr="007C04B1" w:rsidRDefault="0090335E" w:rsidP="00F34A2C">
      <w:pPr>
        <w:jc w:val="center"/>
      </w:pPr>
    </w:p>
    <w:p w:rsidR="0090335E" w:rsidRPr="007C04B1" w:rsidRDefault="0090335E" w:rsidP="00F34A2C">
      <w:pPr>
        <w:jc w:val="center"/>
      </w:pPr>
      <w:r w:rsidRPr="007C04B1">
        <w:t>Отчет</w:t>
      </w:r>
      <w:r w:rsidRPr="007C04B1">
        <w:br/>
        <w:t>об оценке эффективности налогового расхода</w:t>
      </w:r>
      <w:r w:rsidRPr="007C04B1">
        <w:br/>
        <w:t>______</w:t>
      </w:r>
      <w:r w:rsidR="00F34A2C" w:rsidRPr="007C04B1">
        <w:t>______________________________</w:t>
      </w:r>
      <w:r w:rsidRPr="007C04B1">
        <w:t>______________________________</w:t>
      </w:r>
      <w:r w:rsidRPr="007C04B1">
        <w:br/>
      </w:r>
      <w:r w:rsidRPr="007C04B1">
        <w:rPr>
          <w:sz w:val="20"/>
        </w:rPr>
        <w:t>(краткое наименование налогового расхода в соответствии с перечнем налоговых расходов)</w:t>
      </w:r>
      <w:r w:rsidRPr="007C04B1">
        <w:rPr>
          <w:sz w:val="20"/>
        </w:rPr>
        <w:br/>
      </w:r>
      <w:r w:rsidRPr="007C04B1">
        <w:t>за 20 ____ год</w:t>
      </w:r>
    </w:p>
    <w:p w:rsidR="0090335E" w:rsidRPr="007C04B1" w:rsidRDefault="0090335E" w:rsidP="00F34A2C">
      <w:pPr>
        <w:jc w:val="center"/>
      </w:pP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  <w:r w:rsidRPr="007C04B1">
        <w:rPr>
          <w:rFonts w:eastAsiaTheme="minorEastAsia"/>
          <w:color w:val="000000" w:themeColor="text1"/>
          <w:szCs w:val="28"/>
          <w:lang w:eastAsia="ru-RU"/>
        </w:rPr>
        <w:t>Куратор налогового расхода: ______________________________________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75"/>
        <w:gridCol w:w="2551"/>
      </w:tblGrid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Значение показателя (выводы </w:t>
            </w:r>
          </w:p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и предложения)</w:t>
            </w: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 Оценка целесообразности налогового расхода</w:t>
            </w: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1.1. Критерий «Соответствие налогового расхода целям муниципальных программ и (или) целям социально-экономической политики города»</w:t>
            </w: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F34A2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1.1.1. Наименование (реквизиты) муниципальной программы/структурного элемента муниципальной программы (документа, характеризующего социально-экономическую политику города/направления социально-экономической политики города), целям реализации которых должен соответствовать налоговый расход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1.1.2. Наименование цели муниципальной программы </w:t>
            </w:r>
          </w:p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и (или) цели социально-экономической политики города, которой должен соответствовать налоговый расход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1.2. Критерий «Востребованность плательщиками предоставленной льготы»</w:t>
            </w: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0E66D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1.2.1. Уровень востребованности плательщиками предоставленной льготы, %</w:t>
            </w:r>
            <w:r w:rsidR="000E66D4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="000E66D4" w:rsidRPr="007C04B1">
              <w:rPr>
                <w:rFonts w:eastAsiaTheme="minorEastAsia"/>
                <w:color w:val="000000" w:themeColor="text1"/>
                <w:sz w:val="27"/>
                <w:szCs w:val="27"/>
                <w:vertAlign w:val="superscript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- численность плательщиков, воспользовавшихся правом на льготу, в отчетном периоде, 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1.3. Дополнительные критерии целесообразности налогового расхода (при наличии)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0342CA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383795" w:rsidP="000129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В</w:t>
            </w:r>
            <w:r w:rsidR="00FC4CD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ывод о целесообразности налогового расхода</w:t>
            </w:r>
            <w:r w:rsidR="0001291E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="00955892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/ </w:t>
            </w:r>
            <w:r w:rsidR="00FC4CD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обоснование сохранения (изменения, отмены) льготы для плательщиков на основании оценки целесообразности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 Оценка результативности налогового расхода</w:t>
            </w: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2.1. Оценка вклада предусмотренных для плательщиков льгот в изменение значения целевого показателя</w:t>
            </w: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2.1.1. Наименование целевого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0E66D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2.1.2. Вклад льготы в изменение целевого показателя, %</w:t>
            </w:r>
            <w:r w:rsidR="000E66D4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hyperlink w:anchor="sub_33" w:history="1">
              <w:r w:rsidR="000E66D4" w:rsidRPr="007C04B1">
                <w:rPr>
                  <w:rFonts w:eastAsiaTheme="minorEastAsia"/>
                  <w:color w:val="000000" w:themeColor="text1"/>
                  <w:sz w:val="27"/>
                  <w:szCs w:val="27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2.2. Оценка бюджетной эффективности</w:t>
            </w: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2.2.1. Объем льготы, предоставленной плательщикам </w:t>
            </w: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lastRenderedPageBreak/>
              <w:t>(объем налогового расхода) за отчетный финансовый год, тыс. 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2.2.2. Наличие альтернативного механизма достижения цели муниципальной программы и (или) цели социально-экономической политики города, 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- наименование альтернативного механизма достижения цели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D4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- объем расходов (потерь по доходам) бюджета города </w:t>
            </w:r>
          </w:p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в связи с применением альтернативного механизма достижения цели, тыс. 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8852D2" w:rsidP="00286B1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2.2.3. </w:t>
            </w:r>
            <w:r w:rsidR="00FC4CD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Бюджетная эффективность налогового расхода, % </w:t>
            </w:r>
            <w:hyperlink w:anchor="sub_33" w:history="1">
              <w:r w:rsidR="00FC4CDC" w:rsidRPr="007C04B1">
                <w:rPr>
                  <w:rFonts w:eastAsiaTheme="minorEastAsia"/>
                  <w:color w:val="000000" w:themeColor="text1"/>
                  <w:sz w:val="27"/>
                  <w:szCs w:val="27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0342CA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D4" w:rsidRPr="007C04B1" w:rsidRDefault="00C55A0E" w:rsidP="00FC4CD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В</w:t>
            </w:r>
            <w:r w:rsidR="00FC4CD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ыво</w:t>
            </w:r>
            <w:r w:rsidR="00B3608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д о результативности налогового </w:t>
            </w:r>
            <w:r w:rsidR="00FC4CD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расхода </w:t>
            </w:r>
          </w:p>
          <w:p w:rsidR="000E66D4" w:rsidRPr="007C04B1" w:rsidRDefault="00FC4CDC" w:rsidP="00FC4CD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(в</w:t>
            </w:r>
            <w:r w:rsidR="00B3608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 том числе о наличии/отсутствии </w:t>
            </w: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более результативных (менее затратных) для бюджета города альте</w:t>
            </w:r>
            <w:r w:rsidR="00B3608C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рнативных </w:t>
            </w: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механизмов достижения цели муниципальной программы и (или) цели социально-экономической политики города</w:t>
            </w:r>
            <w:r w:rsidR="0001291E"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 xml:space="preserve">/ обоснование сохранения (изменения, отмены) льготы </w:t>
            </w:r>
          </w:p>
          <w:p w:rsidR="00FC4CDC" w:rsidRPr="007C04B1" w:rsidRDefault="00FC4CDC" w:rsidP="00FC4CD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для плательщиков на основании оценки результативности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3. Итоги оценки эффективности налогового расхода</w:t>
            </w: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  <w:t>3.1. Заключение о признании налогового расхода эффективным (неэффективным) по результатам проведенной оценки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FC4CDC" w:rsidRPr="007C04B1" w:rsidTr="00FC4CDC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7"/>
                <w:szCs w:val="27"/>
                <w:lang w:eastAsia="ru-RU"/>
              </w:rPr>
            </w:pPr>
            <w:r w:rsidRPr="007C04B1">
              <w:rPr>
                <w:rFonts w:eastAsiaTheme="minorEastAsia"/>
                <w:color w:val="000000"/>
                <w:sz w:val="27"/>
                <w:szCs w:val="27"/>
                <w:lang w:eastAsia="ru-RU"/>
              </w:rPr>
              <w:t>3.2. Предложения о сохранении (изменении, отмене) льгот</w:t>
            </w:r>
            <w:r w:rsidR="008852D2" w:rsidRPr="007C04B1">
              <w:rPr>
                <w:rFonts w:eastAsiaTheme="minorEastAsia"/>
                <w:color w:val="000000"/>
                <w:sz w:val="27"/>
                <w:szCs w:val="27"/>
                <w:lang w:eastAsia="ru-RU"/>
              </w:rPr>
              <w:t>ы</w:t>
            </w:r>
            <w:r w:rsidRPr="007C04B1">
              <w:rPr>
                <w:rFonts w:eastAsiaTheme="minorEastAsia"/>
                <w:color w:val="000000"/>
                <w:sz w:val="27"/>
                <w:szCs w:val="27"/>
                <w:lang w:eastAsia="ru-RU"/>
              </w:rPr>
              <w:t xml:space="preserve"> для плательщиков</w:t>
            </w:r>
            <w:r w:rsidRPr="007C04B1">
              <w:rPr>
                <w:rFonts w:eastAsiaTheme="minorEastAsia"/>
                <w:color w:val="000000"/>
                <w:sz w:val="27"/>
                <w:szCs w:val="27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C" w:rsidRPr="007C04B1" w:rsidRDefault="00FC4CDC" w:rsidP="0090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7"/>
                <w:szCs w:val="27"/>
                <w:lang w:eastAsia="ru-RU"/>
              </w:rPr>
            </w:pPr>
          </w:p>
        </w:tc>
      </w:tr>
    </w:tbl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  <w:r w:rsidRPr="007C04B1">
        <w:rPr>
          <w:rFonts w:eastAsiaTheme="minorEastAsia"/>
          <w:color w:val="000000" w:themeColor="text1"/>
          <w:szCs w:val="28"/>
          <w:lang w:eastAsia="ru-RU"/>
        </w:rPr>
        <w:t xml:space="preserve">Приложение: расчеты и аналитическая записка к настоящему отчету </w:t>
      </w:r>
      <w:r w:rsidR="00F34A2C" w:rsidRPr="007C04B1">
        <w:rPr>
          <w:rFonts w:eastAsiaTheme="minorEastAsia"/>
          <w:color w:val="000000" w:themeColor="text1"/>
          <w:szCs w:val="28"/>
          <w:lang w:eastAsia="ru-RU"/>
        </w:rPr>
        <w:br/>
      </w:r>
      <w:r w:rsidRPr="007C04B1">
        <w:rPr>
          <w:rFonts w:eastAsiaTheme="minorEastAsia"/>
          <w:color w:val="000000" w:themeColor="text1"/>
          <w:szCs w:val="28"/>
          <w:lang w:eastAsia="ru-RU"/>
        </w:rPr>
        <w:t>на ___ л.</w:t>
      </w: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p w:rsidR="00FC4CDC" w:rsidRPr="007C04B1" w:rsidRDefault="00FC4CDC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  <w:szCs w:val="28"/>
          <w:lang w:eastAsia="ru-RU"/>
        </w:rPr>
      </w:pPr>
    </w:p>
    <w:p w:rsidR="0090335E" w:rsidRPr="007C04B1" w:rsidRDefault="0090335E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  <w:szCs w:val="28"/>
          <w:lang w:eastAsia="ru-RU"/>
        </w:rPr>
      </w:pPr>
      <w:r w:rsidRPr="007C04B1">
        <w:rPr>
          <w:rFonts w:eastAsiaTheme="minorEastAsia"/>
          <w:color w:val="000000"/>
          <w:szCs w:val="28"/>
          <w:lang w:eastAsia="ru-RU"/>
        </w:rPr>
        <w:t>Примеча</w:t>
      </w:r>
      <w:r w:rsidR="000B4082" w:rsidRPr="007C04B1">
        <w:rPr>
          <w:rFonts w:eastAsiaTheme="minorEastAsia"/>
          <w:color w:val="000000"/>
          <w:szCs w:val="28"/>
          <w:lang w:eastAsia="ru-RU"/>
        </w:rPr>
        <w:t>ния</w:t>
      </w:r>
      <w:r w:rsidRPr="007C04B1">
        <w:rPr>
          <w:rFonts w:eastAsiaTheme="minorEastAsia"/>
          <w:color w:val="000000"/>
          <w:szCs w:val="28"/>
          <w:lang w:eastAsia="ru-RU"/>
        </w:rPr>
        <w:t>:</w:t>
      </w:r>
    </w:p>
    <w:p w:rsidR="0090335E" w:rsidRPr="007C04B1" w:rsidRDefault="00286B1B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  <w:szCs w:val="28"/>
          <w:lang w:eastAsia="ru-RU"/>
        </w:rPr>
      </w:pPr>
      <w:r w:rsidRPr="007C04B1">
        <w:rPr>
          <w:rFonts w:eastAsiaTheme="minorEastAsia"/>
          <w:color w:val="000000"/>
          <w:szCs w:val="28"/>
          <w:vertAlign w:val="superscript"/>
          <w:lang w:eastAsia="ru-RU"/>
        </w:rPr>
        <w:t>1</w:t>
      </w:r>
      <w:r w:rsidR="0090335E" w:rsidRPr="007C04B1">
        <w:rPr>
          <w:rFonts w:eastAsiaTheme="minorEastAsia"/>
          <w:color w:val="000000"/>
          <w:szCs w:val="28"/>
          <w:lang w:eastAsia="ru-RU"/>
        </w:rPr>
        <w:t xml:space="preserve"> </w:t>
      </w:r>
      <w:r w:rsidR="000B4082" w:rsidRPr="007C04B1">
        <w:rPr>
          <w:rFonts w:eastAsiaTheme="minorEastAsia"/>
          <w:color w:val="000000"/>
          <w:szCs w:val="28"/>
          <w:lang w:eastAsia="ru-RU"/>
        </w:rPr>
        <w:t xml:space="preserve">– </w:t>
      </w:r>
      <w:r w:rsidR="0090335E" w:rsidRPr="007C04B1">
        <w:rPr>
          <w:rFonts w:eastAsiaTheme="minorEastAsia"/>
          <w:color w:val="000000"/>
          <w:szCs w:val="28"/>
          <w:lang w:eastAsia="ru-RU"/>
        </w:rPr>
        <w:t xml:space="preserve">по данному показателю прилагается расчет, который осуществляется </w:t>
      </w:r>
      <w:r w:rsidR="000B4082" w:rsidRPr="007C04B1">
        <w:rPr>
          <w:rFonts w:eastAsiaTheme="minorEastAsia"/>
          <w:color w:val="000000"/>
          <w:szCs w:val="28"/>
          <w:lang w:eastAsia="ru-RU"/>
        </w:rPr>
        <w:br/>
      </w:r>
      <w:r w:rsidR="0090335E" w:rsidRPr="007C04B1">
        <w:rPr>
          <w:rFonts w:eastAsiaTheme="minorEastAsia"/>
          <w:color w:val="000000"/>
          <w:szCs w:val="28"/>
          <w:lang w:eastAsia="ru-RU"/>
        </w:rPr>
        <w:t xml:space="preserve">с учетом абзацев </w:t>
      </w:r>
      <w:r w:rsidR="000B4082" w:rsidRPr="007C04B1">
        <w:rPr>
          <w:rFonts w:eastAsiaTheme="minorEastAsia"/>
          <w:szCs w:val="28"/>
          <w:lang w:eastAsia="ru-RU"/>
        </w:rPr>
        <w:t>шестого и седьмого</w:t>
      </w:r>
      <w:r w:rsidR="0090335E" w:rsidRPr="007C04B1">
        <w:rPr>
          <w:rFonts w:eastAsiaTheme="minorEastAsia"/>
          <w:szCs w:val="28"/>
          <w:lang w:eastAsia="ru-RU"/>
        </w:rPr>
        <w:t xml:space="preserve"> </w:t>
      </w:r>
      <w:r w:rsidR="0090335E" w:rsidRPr="007C04B1">
        <w:rPr>
          <w:rFonts w:eastAsiaTheme="minorEastAsia"/>
          <w:color w:val="000000"/>
          <w:szCs w:val="28"/>
          <w:lang w:eastAsia="ru-RU"/>
        </w:rPr>
        <w:t>подпунк</w:t>
      </w:r>
      <w:r w:rsidR="00707DA7" w:rsidRPr="007C04B1">
        <w:rPr>
          <w:rFonts w:eastAsiaTheme="minorEastAsia"/>
          <w:color w:val="000000"/>
          <w:szCs w:val="28"/>
          <w:lang w:eastAsia="ru-RU"/>
        </w:rPr>
        <w:t xml:space="preserve">та 1.3.3 пункта 1.3 раздела III </w:t>
      </w:r>
      <w:r w:rsidR="000B4082" w:rsidRPr="007C04B1">
        <w:rPr>
          <w:rFonts w:eastAsiaTheme="minorEastAsia"/>
          <w:color w:val="000000"/>
          <w:szCs w:val="28"/>
          <w:lang w:eastAsia="ru-RU"/>
        </w:rPr>
        <w:t>порядка;</w:t>
      </w:r>
    </w:p>
    <w:p w:rsidR="0090335E" w:rsidRPr="0090335E" w:rsidRDefault="00286B1B" w:rsidP="0090335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  <w:r w:rsidRPr="007C04B1">
        <w:rPr>
          <w:rFonts w:eastAsiaTheme="minorEastAsia"/>
          <w:color w:val="000000"/>
          <w:szCs w:val="28"/>
          <w:vertAlign w:val="superscript"/>
          <w:lang w:eastAsia="ru-RU"/>
        </w:rPr>
        <w:t>2</w:t>
      </w:r>
      <w:r w:rsidR="0090335E" w:rsidRPr="007C04B1">
        <w:rPr>
          <w:rFonts w:eastAsiaTheme="minorEastAsia"/>
          <w:color w:val="000000"/>
          <w:szCs w:val="28"/>
          <w:lang w:eastAsia="ru-RU"/>
        </w:rPr>
        <w:t xml:space="preserve"> </w:t>
      </w:r>
      <w:r w:rsidR="000B4082" w:rsidRPr="007C04B1">
        <w:rPr>
          <w:rFonts w:eastAsiaTheme="minorEastAsia"/>
          <w:color w:val="000000"/>
          <w:szCs w:val="28"/>
          <w:lang w:eastAsia="ru-RU"/>
        </w:rPr>
        <w:t xml:space="preserve">– </w:t>
      </w:r>
      <w:r w:rsidR="0090335E" w:rsidRPr="007C04B1">
        <w:rPr>
          <w:rFonts w:eastAsiaTheme="minorEastAsia"/>
          <w:color w:val="000000"/>
          <w:szCs w:val="28"/>
          <w:lang w:eastAsia="ru-RU"/>
        </w:rPr>
        <w:t xml:space="preserve">предложения формируются в соответствии с подпунктом 1.3.4 </w:t>
      </w:r>
      <w:r w:rsidR="000E66D4" w:rsidRPr="007C04B1">
        <w:rPr>
          <w:rFonts w:eastAsiaTheme="minorEastAsia"/>
          <w:color w:val="000000"/>
          <w:szCs w:val="28"/>
          <w:lang w:eastAsia="ru-RU"/>
        </w:rPr>
        <w:br/>
      </w:r>
      <w:r w:rsidR="0090335E" w:rsidRPr="007C04B1">
        <w:rPr>
          <w:rFonts w:eastAsiaTheme="minorEastAsia"/>
          <w:color w:val="000000"/>
          <w:szCs w:val="28"/>
          <w:lang w:eastAsia="ru-RU"/>
        </w:rPr>
        <w:t>пункта 1.3 и подпунк</w:t>
      </w:r>
      <w:r w:rsidR="00707DA7" w:rsidRPr="007C04B1">
        <w:rPr>
          <w:rFonts w:eastAsiaTheme="minorEastAsia"/>
          <w:color w:val="000000"/>
          <w:szCs w:val="28"/>
          <w:lang w:eastAsia="ru-RU"/>
        </w:rPr>
        <w:t xml:space="preserve">том 1.4.5 пункта 1.4 раздела IV </w:t>
      </w:r>
      <w:r w:rsidR="0090335E" w:rsidRPr="007C04B1">
        <w:rPr>
          <w:rFonts w:eastAsiaTheme="minorEastAsia"/>
          <w:color w:val="000000"/>
          <w:szCs w:val="28"/>
          <w:lang w:eastAsia="ru-RU"/>
        </w:rPr>
        <w:t>порядка.</w:t>
      </w:r>
    </w:p>
    <w:p w:rsidR="00921EB1" w:rsidRPr="00210B94" w:rsidRDefault="00921EB1" w:rsidP="00073D17">
      <w:pPr>
        <w:rPr>
          <w:szCs w:val="28"/>
        </w:rPr>
      </w:pPr>
    </w:p>
    <w:sectPr w:rsidR="00921EB1" w:rsidRPr="00210B94" w:rsidSect="002B5A38">
      <w:headerReference w:type="default" r:id="rId7"/>
      <w:pgSz w:w="11905" w:h="16837"/>
      <w:pgMar w:top="1134" w:right="567" w:bottom="1134" w:left="1701" w:header="720" w:footer="720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1E9" w:rsidRDefault="001541E9" w:rsidP="002B5A38">
      <w:r>
        <w:separator/>
      </w:r>
    </w:p>
  </w:endnote>
  <w:endnote w:type="continuationSeparator" w:id="0">
    <w:p w:rsidR="001541E9" w:rsidRDefault="001541E9" w:rsidP="002B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1E9" w:rsidRDefault="001541E9" w:rsidP="002B5A38">
      <w:r>
        <w:separator/>
      </w:r>
    </w:p>
  </w:footnote>
  <w:footnote w:type="continuationSeparator" w:id="0">
    <w:p w:rsidR="001541E9" w:rsidRDefault="001541E9" w:rsidP="002B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23978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2B5A38" w:rsidRPr="002B5A38" w:rsidRDefault="002B5A38">
        <w:pPr>
          <w:pStyle w:val="af6"/>
          <w:jc w:val="center"/>
          <w:rPr>
            <w:sz w:val="20"/>
          </w:rPr>
        </w:pPr>
        <w:r w:rsidRPr="002B5A38">
          <w:rPr>
            <w:sz w:val="20"/>
          </w:rPr>
          <w:fldChar w:fldCharType="begin"/>
        </w:r>
        <w:r w:rsidRPr="002B5A38">
          <w:rPr>
            <w:sz w:val="20"/>
          </w:rPr>
          <w:instrText>PAGE   \* MERGEFORMAT</w:instrText>
        </w:r>
        <w:r w:rsidRPr="002B5A38">
          <w:rPr>
            <w:sz w:val="20"/>
          </w:rPr>
          <w:fldChar w:fldCharType="separate"/>
        </w:r>
        <w:r w:rsidR="0086330C">
          <w:rPr>
            <w:noProof/>
            <w:sz w:val="20"/>
          </w:rPr>
          <w:t>19</w:t>
        </w:r>
        <w:r w:rsidRPr="002B5A38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EC"/>
    <w:rsid w:val="0001291E"/>
    <w:rsid w:val="000342CA"/>
    <w:rsid w:val="00073D17"/>
    <w:rsid w:val="000B4082"/>
    <w:rsid w:val="000E66D4"/>
    <w:rsid w:val="00126792"/>
    <w:rsid w:val="001541E9"/>
    <w:rsid w:val="00210B94"/>
    <w:rsid w:val="00286B1B"/>
    <w:rsid w:val="002B5A38"/>
    <w:rsid w:val="00383795"/>
    <w:rsid w:val="00427D32"/>
    <w:rsid w:val="00444025"/>
    <w:rsid w:val="00444343"/>
    <w:rsid w:val="00537A6D"/>
    <w:rsid w:val="006849FD"/>
    <w:rsid w:val="00693DE3"/>
    <w:rsid w:val="00707DA7"/>
    <w:rsid w:val="00776CB0"/>
    <w:rsid w:val="007C04B1"/>
    <w:rsid w:val="0086330C"/>
    <w:rsid w:val="00867FA3"/>
    <w:rsid w:val="008852D2"/>
    <w:rsid w:val="008F0AE5"/>
    <w:rsid w:val="0090335E"/>
    <w:rsid w:val="00921EB1"/>
    <w:rsid w:val="00955892"/>
    <w:rsid w:val="00986EEC"/>
    <w:rsid w:val="009F461F"/>
    <w:rsid w:val="00A8169D"/>
    <w:rsid w:val="00B03D0A"/>
    <w:rsid w:val="00B3608C"/>
    <w:rsid w:val="00BB4888"/>
    <w:rsid w:val="00BD14E0"/>
    <w:rsid w:val="00C55A0E"/>
    <w:rsid w:val="00CC58B5"/>
    <w:rsid w:val="00CF1E03"/>
    <w:rsid w:val="00D12BDD"/>
    <w:rsid w:val="00DA4439"/>
    <w:rsid w:val="00F345B8"/>
    <w:rsid w:val="00F34A2C"/>
    <w:rsid w:val="00FC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29979-9942-4F5B-A2FF-28353ED4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2B5A3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B5A38"/>
    <w:rPr>
      <w:rFonts w:ascii="Segoe UI" w:hAnsi="Segoe UI" w:cs="Segoe UI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2B5A3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B5A38"/>
    <w:rPr>
      <w:rFonts w:ascii="Times New Roman" w:hAnsi="Times New Roman"/>
      <w:sz w:val="28"/>
      <w:szCs w:val="24"/>
    </w:rPr>
  </w:style>
  <w:style w:type="paragraph" w:styleId="af8">
    <w:name w:val="footer"/>
    <w:basedOn w:val="a"/>
    <w:link w:val="af9"/>
    <w:uiPriority w:val="99"/>
    <w:unhideWhenUsed/>
    <w:rsid w:val="002B5A3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B5A38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95E94-1EB0-42F8-AF28-DAB8DF7F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Попенко Линара Рифкатовна</cp:lastModifiedBy>
  <cp:revision>2</cp:revision>
  <cp:lastPrinted>2026-02-09T06:24:00Z</cp:lastPrinted>
  <dcterms:created xsi:type="dcterms:W3CDTF">2026-02-11T09:34:00Z</dcterms:created>
  <dcterms:modified xsi:type="dcterms:W3CDTF">2026-02-11T09:34:00Z</dcterms:modified>
</cp:coreProperties>
</file>